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Шановні колеги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лікарі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!</w:t>
      </w:r>
    </w:p>
    <w:p>
      <w:pPr>
        <w:pStyle w:val="Normal.0"/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В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 рамках безперервного професійного розвитку лікарів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 з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апрошуємо всіх бажаючих на</w:t>
        <w:br w:type="textWrapping"/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А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вторський семінар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: "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РАДІОНУКЛІДНА ТЕРАПІЯ ТА МОНІТОРИНГ ВИСОКО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ДИФЕРЕНЦІЙОВАНОГО РАКУ ЩИТОПОДІБНОЇ ЗАЛОЗИ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".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br w:type="textWrapping"/>
        <w:t xml:space="preserve">Семінар для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в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ас проводитиме головний фахівець з ядерної медицини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професор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лікар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експерт СОЛОДЯННИКОВА О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І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</w:p>
    <w:p>
      <w:pPr>
        <w:pStyle w:val="Normal.0"/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t>Очно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заочна форма навчання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- 2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дні живої ПРАКТИЧНОЇ підготовки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розбір унікальних випадків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складних ситуаційних завдань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унікальна методика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експертний рівень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t>Дата проведення – четвер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пятниця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(20-21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квітня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2023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м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Київ з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10.00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до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13.10 (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час уточнюється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)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t xml:space="preserve">Учаснику нараховується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20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балів БПР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</w:p>
    <w:p>
      <w:pPr>
        <w:pStyle w:val="Normal.0"/>
      </w:pP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t xml:space="preserve">ПРОГРАМА ЗАХОДУ БПР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(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АВТОРСЬКОГО ТРЕНІНГУ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):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1.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Питання епідеміології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етіології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патогенезу раку щитоподібної залози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(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).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Фактори ризику та передракові захворювання 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Патологічна анатомія і морфологія щитоподібної залози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Метастазування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Класифікація раку 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Клініка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Діагностика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Види лікування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2.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Сучасні підходи в лікуванні раку ЩЗ в залежності від гістологічної структури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3.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Радіонуклідна терапія йод негативного раку 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Епідеміологія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радіонуклідні та цитологічні детермінанти спостереження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Таргетна терапія йод негативного раку 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4.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Алгоритм радіонуклідної діагностики метастазів та рецидивів йод негативного раку ЩЗ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Особливості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5.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Розбір складних клінічних випадків і ситуаційних задач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історій хвороби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Відповіді на запитання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br w:type="textWrapping"/>
        <w:t>Після закінчення майстер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класу видається Сертифікат Центру тестування МОЗ України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учаснику нараховується певна кількість балів для врахування їх при атестації на присвоєння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(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підтвердження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лікарської кваліфікаційної категорії відповідно до наказу МОЗ України від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22.02.2019 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№ 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446 (</w:t>
      </w:r>
      <w:r>
        <w:rPr>
          <w:rFonts w:ascii="Arial" w:hAnsi="Arial" w:hint="default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зі змінами</w:t>
      </w:r>
      <w:r>
        <w:rPr>
          <w:rFonts w:ascii="Arial" w:hAnsi="Arial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).</w:t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br w:type="textWrapping"/>
        <w:br w:type="textWrapping"/>
        <w:br w:type="textWrapping"/>
        <w:br w:type="textWrapping"/>
        <w:br w:type="textWrapping"/>
      </w:r>
      <w:r>
        <w:rPr>
          <w:rFonts w:ascii="Arial" w:cs="Arial" w:hAnsi="Arial" w:eastAsia="Arial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  <w:drawing xmlns:a="http://schemas.openxmlformats.org/drawingml/2006/main">
          <wp:inline distT="0" distB="0" distL="0" distR="0">
            <wp:extent cx="4267200" cy="2222315"/>
            <wp:effectExtent l="0" t="0" r="0" b="0"/>
            <wp:docPr id="1073741825" name="officeArt object" descr="C:\Users\Natalii\Pictures\БПР\изображение_viber_2023-03-19_21-49-07-2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Natalii\Pictures\БПР\изображение_viber_2023-03-19_21-49-07-216 (2).jpg" descr="C:\Users\Natalii\Pictures\БПР\изображение_viber_2023-03-19_21-49-07-216 (2)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222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